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AA" w:rsidRDefault="00A03ECC">
      <w:pPr>
        <w:jc w:val="center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邵逸夫医院</w:t>
      </w:r>
      <w:r w:rsidR="009206DB">
        <w:rPr>
          <w:rFonts w:hAnsi="宋体" w:hint="eastAsia"/>
          <w:b/>
          <w:sz w:val="36"/>
          <w:szCs w:val="36"/>
        </w:rPr>
        <w:t>眼科</w:t>
      </w:r>
      <w:r>
        <w:rPr>
          <w:rFonts w:hAnsi="宋体"/>
          <w:b/>
          <w:sz w:val="36"/>
          <w:szCs w:val="36"/>
        </w:rPr>
        <w:t>研究团队介绍</w:t>
      </w:r>
    </w:p>
    <w:p w:rsidR="00A312AA" w:rsidRDefault="00A03ECC">
      <w:pPr>
        <w:jc w:val="center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（用于招聘科研助手）</w:t>
      </w:r>
    </w:p>
    <w:p w:rsidR="00A312AA" w:rsidRDefault="00A312AA">
      <w:pPr>
        <w:rPr>
          <w:rFonts w:hAnsi="宋体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90"/>
      </w:tblGrid>
      <w:tr w:rsidR="00A312AA">
        <w:trPr>
          <w:trHeight w:val="496"/>
        </w:trPr>
        <w:tc>
          <w:tcPr>
            <w:tcW w:w="8190" w:type="dxa"/>
            <w:vAlign w:val="center"/>
          </w:tcPr>
          <w:p w:rsidR="00A312AA" w:rsidRDefault="00A03ECC">
            <w:pPr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实验室（课题组）总体介绍：</w:t>
            </w:r>
          </w:p>
        </w:tc>
      </w:tr>
      <w:tr w:rsidR="00A312AA">
        <w:trPr>
          <w:trHeight w:val="2388"/>
        </w:trPr>
        <w:tc>
          <w:tcPr>
            <w:tcW w:w="8190" w:type="dxa"/>
            <w:vAlign w:val="center"/>
          </w:tcPr>
          <w:p w:rsidR="00A312AA" w:rsidRDefault="00A03ECC" w:rsidP="00924608">
            <w:pPr>
              <w:ind w:firstLine="420"/>
              <w:rPr>
                <w:rFonts w:hAnsi="宋体"/>
              </w:rPr>
            </w:pPr>
            <w:r>
              <w:rPr>
                <w:rFonts w:hAnsi="宋体"/>
              </w:rPr>
              <w:t>姚玉峰教授课题组</w:t>
            </w:r>
            <w:r w:rsidR="00924608">
              <w:rPr>
                <w:rFonts w:hAnsi="宋体"/>
              </w:rPr>
              <w:t>的研究方向包括</w:t>
            </w:r>
            <w:r>
              <w:rPr>
                <w:rFonts w:hAnsi="宋体"/>
              </w:rPr>
              <w:t>角膜疾病诊治、角膜移植技术开发、</w:t>
            </w:r>
            <w:r w:rsidR="00267D4F">
              <w:rPr>
                <w:rFonts w:hAnsi="宋体"/>
              </w:rPr>
              <w:t>感染性</w:t>
            </w:r>
            <w:r w:rsidR="00924608">
              <w:rPr>
                <w:rFonts w:hAnsi="宋体"/>
              </w:rPr>
              <w:t>病</w:t>
            </w:r>
            <w:r w:rsidR="00267D4F">
              <w:rPr>
                <w:rFonts w:hAnsi="宋体"/>
              </w:rPr>
              <w:t>原诊断技术开发</w:t>
            </w:r>
            <w:r w:rsidR="00267D4F"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人工智能角膜病</w:t>
            </w:r>
            <w:r w:rsidR="003E570A">
              <w:rPr>
                <w:rFonts w:hAnsi="宋体" w:hint="eastAsia"/>
              </w:rPr>
              <w:t>诊断</w:t>
            </w:r>
            <w:r w:rsidR="00267D4F">
              <w:rPr>
                <w:rFonts w:hAnsi="宋体"/>
              </w:rPr>
              <w:t>系统研发</w:t>
            </w:r>
            <w:r>
              <w:rPr>
                <w:rFonts w:hAnsi="宋体"/>
              </w:rPr>
              <w:t>、</w:t>
            </w:r>
            <w:r>
              <w:rPr>
                <w:rFonts w:hAnsi="宋体"/>
              </w:rPr>
              <w:t>3D</w:t>
            </w:r>
            <w:r>
              <w:rPr>
                <w:rFonts w:hAnsi="宋体"/>
              </w:rPr>
              <w:t>打印人工角膜等多方向、多</w:t>
            </w:r>
            <w:r w:rsidR="00924608">
              <w:rPr>
                <w:rFonts w:hAnsi="宋体"/>
              </w:rPr>
              <w:t>学科</w:t>
            </w:r>
            <w:r>
              <w:rPr>
                <w:rFonts w:hAnsi="宋体"/>
              </w:rPr>
              <w:t>交叉的研究</w:t>
            </w:r>
            <w:r w:rsidR="00924608">
              <w:rPr>
                <w:rFonts w:hAnsi="宋体"/>
              </w:rPr>
              <w:t>项目</w:t>
            </w:r>
            <w:r w:rsidR="00267D4F">
              <w:rPr>
                <w:rFonts w:hAnsi="宋体" w:hint="eastAsia"/>
              </w:rPr>
              <w:t>。</w:t>
            </w:r>
            <w:r>
              <w:rPr>
                <w:rFonts w:hAnsi="宋体"/>
              </w:rPr>
              <w:t>在角膜病诊治和研究领域</w:t>
            </w:r>
            <w:r w:rsidR="00924608">
              <w:rPr>
                <w:rFonts w:hAnsi="宋体"/>
              </w:rPr>
              <w:t>造诣高</w:t>
            </w:r>
            <w:r>
              <w:rPr>
                <w:rFonts w:hAnsi="宋体"/>
              </w:rPr>
              <w:t>，活跃在国际相关研究领域</w:t>
            </w:r>
            <w:r w:rsidR="003E570A">
              <w:rPr>
                <w:rFonts w:hAnsi="宋体"/>
              </w:rPr>
              <w:t>的</w:t>
            </w:r>
            <w:r>
              <w:rPr>
                <w:rFonts w:hAnsi="宋体"/>
              </w:rPr>
              <w:t>前沿。获得</w:t>
            </w:r>
            <w:r w:rsidR="00924608">
              <w:rPr>
                <w:rFonts w:hAnsi="宋体"/>
              </w:rPr>
              <w:t>过</w:t>
            </w:r>
            <w:r>
              <w:rPr>
                <w:rFonts w:hAnsi="宋体"/>
              </w:rPr>
              <w:t>国家级科研项目</w:t>
            </w:r>
            <w:r>
              <w:rPr>
                <w:rFonts w:hAnsi="宋体"/>
              </w:rPr>
              <w:t>10</w:t>
            </w:r>
            <w:r>
              <w:rPr>
                <w:rFonts w:hAnsi="宋体"/>
              </w:rPr>
              <w:t>余项，省部级科研项目</w:t>
            </w:r>
            <w:r>
              <w:rPr>
                <w:rFonts w:hAnsi="宋体"/>
              </w:rPr>
              <w:t>20</w:t>
            </w:r>
            <w:r>
              <w:rPr>
                <w:rFonts w:hAnsi="宋体"/>
              </w:rPr>
              <w:t>余项。发表学术论文一百余篇，其中</w:t>
            </w:r>
            <w:r>
              <w:rPr>
                <w:rFonts w:hAnsi="宋体"/>
              </w:rPr>
              <w:t>SCI</w:t>
            </w:r>
            <w:r>
              <w:rPr>
                <w:rFonts w:hAnsi="宋体"/>
              </w:rPr>
              <w:t>论文</w:t>
            </w:r>
            <w:r>
              <w:rPr>
                <w:rFonts w:hAnsi="宋体"/>
              </w:rPr>
              <w:t>40</w:t>
            </w:r>
            <w:r>
              <w:rPr>
                <w:rFonts w:hAnsi="宋体"/>
              </w:rPr>
              <w:t>余篇，多篇收录在眼科</w:t>
            </w:r>
            <w:r w:rsidR="00267D4F">
              <w:rPr>
                <w:rFonts w:hAnsi="宋体"/>
              </w:rPr>
              <w:t>最高</w:t>
            </w:r>
            <w:r>
              <w:rPr>
                <w:rFonts w:hAnsi="宋体"/>
              </w:rPr>
              <w:t>影响因子的杂志上；获授权发明专利</w:t>
            </w:r>
            <w:r>
              <w:rPr>
                <w:rFonts w:hAnsi="宋体"/>
              </w:rPr>
              <w:t>3</w:t>
            </w:r>
            <w:r>
              <w:rPr>
                <w:rFonts w:hAnsi="宋体"/>
              </w:rPr>
              <w:t>项。所开发的技术</w:t>
            </w:r>
            <w:r w:rsidR="003E570A">
              <w:rPr>
                <w:rFonts w:hAnsi="宋体"/>
              </w:rPr>
              <w:t>被编入美国眼科教科书</w:t>
            </w:r>
            <w:r>
              <w:rPr>
                <w:rFonts w:hAnsi="宋体"/>
              </w:rPr>
              <w:t>，</w:t>
            </w:r>
            <w:r w:rsidR="003E570A">
              <w:rPr>
                <w:rFonts w:hAnsi="宋体"/>
              </w:rPr>
              <w:t>被推广到国内外多家医院</w:t>
            </w:r>
            <w:r w:rsidR="003E570A">
              <w:rPr>
                <w:rFonts w:hAnsi="宋体" w:hint="eastAsia"/>
              </w:rPr>
              <w:t>。</w:t>
            </w:r>
            <w:r>
              <w:rPr>
                <w:rFonts w:hAnsi="宋体"/>
              </w:rPr>
              <w:t>欢迎</w:t>
            </w:r>
            <w:r w:rsidR="00924608">
              <w:rPr>
                <w:rFonts w:hAnsi="宋体"/>
              </w:rPr>
              <w:t>有</w:t>
            </w:r>
            <w:r w:rsidR="003E570A">
              <w:rPr>
                <w:rFonts w:hAnsi="宋体" w:hint="eastAsia"/>
              </w:rPr>
              <w:t>志向、有作为的</w:t>
            </w:r>
            <w:r>
              <w:rPr>
                <w:rFonts w:hAnsi="宋体"/>
              </w:rPr>
              <w:t>青年</w:t>
            </w:r>
            <w:r w:rsidR="003E570A">
              <w:rPr>
                <w:rFonts w:hAnsi="宋体"/>
              </w:rPr>
              <w:t>才俊的</w:t>
            </w:r>
            <w:r>
              <w:rPr>
                <w:rFonts w:hAnsi="宋体"/>
              </w:rPr>
              <w:t>加盟，</w:t>
            </w:r>
            <w:r w:rsidR="003E570A">
              <w:rPr>
                <w:rFonts w:hAnsi="宋体"/>
              </w:rPr>
              <w:t>携手打拼新天地</w:t>
            </w:r>
            <w:r>
              <w:rPr>
                <w:rFonts w:hAnsi="宋体"/>
              </w:rPr>
              <w:t>！</w:t>
            </w:r>
            <w:r>
              <w:rPr>
                <w:rFonts w:hAnsi="宋体"/>
              </w:rPr>
              <w:t xml:space="preserve"> </w:t>
            </w:r>
          </w:p>
        </w:tc>
      </w:tr>
      <w:tr w:rsidR="00A312AA">
        <w:trPr>
          <w:trHeight w:val="622"/>
        </w:trPr>
        <w:tc>
          <w:tcPr>
            <w:tcW w:w="8190" w:type="dxa"/>
            <w:vAlign w:val="center"/>
          </w:tcPr>
          <w:p w:rsidR="00A312AA" w:rsidRDefault="00A03ECC">
            <w:pPr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团队或导师介绍：</w:t>
            </w:r>
          </w:p>
        </w:tc>
        <w:bookmarkStart w:id="0" w:name="_GoBack"/>
        <w:bookmarkEnd w:id="0"/>
      </w:tr>
      <w:tr w:rsidR="00A312AA">
        <w:trPr>
          <w:trHeight w:val="2487"/>
        </w:trPr>
        <w:tc>
          <w:tcPr>
            <w:tcW w:w="8190" w:type="dxa"/>
            <w:vAlign w:val="center"/>
          </w:tcPr>
          <w:p w:rsidR="00A312AA" w:rsidRDefault="00A03ECC">
            <w:pPr>
              <w:ind w:firstLine="420"/>
              <w:rPr>
                <w:rFonts w:hAnsi="宋体"/>
              </w:rPr>
            </w:pPr>
            <w:r>
              <w:rPr>
                <w:rFonts w:hAnsi="宋体"/>
              </w:rPr>
              <w:t>学科负责人：姚玉峰，教授、主任医师、博士生导师、浙大求是特聘学者，浙江省医学会眼科学会主任委员，浙江省重点创新学科带头人，浙江省有突出贡献的中青年专家、浙江省角膜病诊治技术指导中心主任委员。国际著名的角膜病和屈光学专家，是发明被国际命名的</w:t>
            </w:r>
            <w:r w:rsidRPr="003E570A">
              <w:rPr>
                <w:rFonts w:ascii="Times New Roman" w:hAnsi="Times New Roman"/>
              </w:rPr>
              <w:t>Yao’s</w:t>
            </w:r>
            <w:r>
              <w:rPr>
                <w:rFonts w:hAnsi="宋体"/>
              </w:rPr>
              <w:t>法角膜移植技术的原创者。近年来承担国家自然科学基金，浙江省重大专项基金、</w:t>
            </w:r>
            <w:r w:rsidR="003E570A">
              <w:rPr>
                <w:rFonts w:hAnsi="宋体"/>
              </w:rPr>
              <w:t>国家</w:t>
            </w:r>
            <w:r w:rsidR="003E570A">
              <w:rPr>
                <w:rFonts w:hAnsi="宋体" w:hint="eastAsia"/>
              </w:rPr>
              <w:t>-</w:t>
            </w:r>
            <w:r w:rsidR="003E570A">
              <w:rPr>
                <w:rFonts w:hAnsi="宋体"/>
              </w:rPr>
              <w:t>省卫健委省部共建重大项目基金</w:t>
            </w:r>
            <w:r w:rsidR="003E570A"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省自然科学基金等</w:t>
            </w:r>
            <w:r>
              <w:rPr>
                <w:rFonts w:hAnsi="宋体"/>
              </w:rPr>
              <w:t>10</w:t>
            </w:r>
            <w:r>
              <w:rPr>
                <w:rFonts w:hAnsi="宋体"/>
              </w:rPr>
              <w:t>多项。发表</w:t>
            </w:r>
            <w:r>
              <w:rPr>
                <w:rFonts w:hAnsi="宋体"/>
              </w:rPr>
              <w:t>SCI</w:t>
            </w:r>
            <w:r>
              <w:rPr>
                <w:rFonts w:hAnsi="宋体"/>
              </w:rPr>
              <w:t>收录论文</w:t>
            </w:r>
            <w:r>
              <w:rPr>
                <w:rFonts w:hAnsi="宋体"/>
              </w:rPr>
              <w:t>40</w:t>
            </w:r>
            <w:r>
              <w:rPr>
                <w:rFonts w:hAnsi="宋体"/>
              </w:rPr>
              <w:t>多篇，以第一完成人获浙江省科学技术奖一等奖</w:t>
            </w:r>
            <w:r>
              <w:rPr>
                <w:rFonts w:hAnsi="宋体"/>
              </w:rPr>
              <w:t>1</w:t>
            </w:r>
            <w:r>
              <w:rPr>
                <w:rFonts w:hAnsi="宋体"/>
              </w:rPr>
              <w:t>项，二等奖</w:t>
            </w:r>
            <w:r>
              <w:rPr>
                <w:rFonts w:hAnsi="宋体"/>
              </w:rPr>
              <w:t>1</w:t>
            </w:r>
            <w:r>
              <w:rPr>
                <w:rFonts w:hAnsi="宋体"/>
              </w:rPr>
              <w:t>项。</w:t>
            </w:r>
            <w:r w:rsidR="00267D4F">
              <w:rPr>
                <w:rFonts w:hAnsi="宋体"/>
              </w:rPr>
              <w:t>获得敬业奉献类全国道德模范</w:t>
            </w:r>
            <w:r w:rsidR="00267D4F">
              <w:rPr>
                <w:rFonts w:hAnsi="宋体" w:hint="eastAsia"/>
              </w:rPr>
              <w:t>、</w:t>
            </w:r>
            <w:r w:rsidR="00267D4F">
              <w:rPr>
                <w:rFonts w:hAnsi="宋体"/>
              </w:rPr>
              <w:t>卫生系统最高荣誉</w:t>
            </w:r>
            <w:r w:rsidR="00267D4F">
              <w:rPr>
                <w:rFonts w:hAnsi="宋体" w:hint="eastAsia"/>
              </w:rPr>
              <w:t>——</w:t>
            </w:r>
            <w:r w:rsidR="00267D4F">
              <w:rPr>
                <w:rFonts w:hAnsi="宋体"/>
              </w:rPr>
              <w:t>白求恩奖章等荣誉称号</w:t>
            </w:r>
            <w:r w:rsidR="00267D4F">
              <w:rPr>
                <w:rFonts w:hAnsi="宋体" w:hint="eastAsia"/>
              </w:rPr>
              <w:t>。</w:t>
            </w:r>
            <w:r w:rsidR="00267D4F">
              <w:rPr>
                <w:rFonts w:hAnsi="宋体"/>
              </w:rPr>
              <w:t>现任浙江大学党委委员</w:t>
            </w:r>
            <w:r w:rsidR="00267D4F">
              <w:rPr>
                <w:rFonts w:hAnsi="宋体" w:hint="eastAsia"/>
              </w:rPr>
              <w:t>、</w:t>
            </w:r>
            <w:r w:rsidR="00267D4F">
              <w:rPr>
                <w:rFonts w:hAnsi="宋体"/>
              </w:rPr>
              <w:t>浙大邵逸夫医院党委委员</w:t>
            </w:r>
            <w:r w:rsidR="00267D4F">
              <w:rPr>
                <w:rFonts w:hAnsi="宋体" w:hint="eastAsia"/>
              </w:rPr>
              <w:t>、</w:t>
            </w:r>
            <w:r w:rsidR="00267D4F">
              <w:rPr>
                <w:rFonts w:hAnsi="宋体"/>
              </w:rPr>
              <w:t>第十三届浙江省人大代表</w:t>
            </w:r>
            <w:r w:rsidR="00267D4F">
              <w:rPr>
                <w:rFonts w:hAnsi="宋体" w:hint="eastAsia"/>
              </w:rPr>
              <w:t>。</w:t>
            </w:r>
          </w:p>
          <w:p w:rsidR="00A312AA" w:rsidRDefault="00A03ECC" w:rsidP="00267D4F">
            <w:pPr>
              <w:ind w:firstLine="420"/>
              <w:rPr>
                <w:rFonts w:hAnsi="宋体"/>
              </w:rPr>
            </w:pPr>
            <w:r>
              <w:rPr>
                <w:rFonts w:hAnsi="宋体"/>
              </w:rPr>
              <w:t>团队：眼科团队医师</w:t>
            </w:r>
            <w:r>
              <w:rPr>
                <w:rFonts w:hAnsi="宋体"/>
              </w:rPr>
              <w:t>25</w:t>
            </w:r>
            <w:r>
              <w:rPr>
                <w:rFonts w:hAnsi="宋体"/>
              </w:rPr>
              <w:t>人，科研助手</w:t>
            </w:r>
            <w:r>
              <w:rPr>
                <w:rFonts w:hAnsi="宋体"/>
              </w:rPr>
              <w:t>2</w:t>
            </w:r>
            <w:r>
              <w:rPr>
                <w:rFonts w:hAnsi="宋体"/>
              </w:rPr>
              <w:t>名，其中高级职称</w:t>
            </w:r>
            <w:r>
              <w:rPr>
                <w:rFonts w:hAnsi="宋体"/>
              </w:rPr>
              <w:t>7</w:t>
            </w:r>
            <w:r>
              <w:rPr>
                <w:rFonts w:hAnsi="宋体"/>
              </w:rPr>
              <w:t>名，博士生导师</w:t>
            </w:r>
            <w:r>
              <w:rPr>
                <w:rFonts w:hAnsi="宋体"/>
              </w:rPr>
              <w:t>1</w:t>
            </w:r>
            <w:r>
              <w:rPr>
                <w:rFonts w:hAnsi="宋体"/>
              </w:rPr>
              <w:t>人，博士研究生</w:t>
            </w:r>
            <w:r>
              <w:rPr>
                <w:rFonts w:hAnsi="宋体"/>
              </w:rPr>
              <w:t>6</w:t>
            </w:r>
            <w:r>
              <w:rPr>
                <w:rFonts w:hAnsi="宋体"/>
              </w:rPr>
              <w:t>名，硕士研究生</w:t>
            </w:r>
            <w:r>
              <w:rPr>
                <w:rFonts w:hAnsi="宋体"/>
              </w:rPr>
              <w:t>3</w:t>
            </w:r>
            <w:r>
              <w:rPr>
                <w:rFonts w:hAnsi="宋体"/>
              </w:rPr>
              <w:t>名。此外，团队还与浙大基础医学院病原</w:t>
            </w:r>
            <w:r w:rsidR="00267D4F">
              <w:rPr>
                <w:rFonts w:hAnsi="宋体" w:hint="eastAsia"/>
              </w:rPr>
              <w:t>学</w:t>
            </w:r>
            <w:r>
              <w:rPr>
                <w:rFonts w:hAnsi="宋体"/>
              </w:rPr>
              <w:t>教授，浙大计算机系教授，浙大机械系教授</w:t>
            </w:r>
            <w:r w:rsidR="003E570A">
              <w:rPr>
                <w:rFonts w:hAnsi="宋体"/>
              </w:rPr>
              <w:t>开展多学科交叉</w:t>
            </w:r>
            <w:r w:rsidR="00267D4F">
              <w:rPr>
                <w:rFonts w:hAnsi="宋体"/>
              </w:rPr>
              <w:t>的</w:t>
            </w:r>
            <w:r>
              <w:rPr>
                <w:rFonts w:hAnsi="宋体"/>
              </w:rPr>
              <w:t>合作研究。</w:t>
            </w:r>
          </w:p>
        </w:tc>
      </w:tr>
      <w:tr w:rsidR="00A312AA">
        <w:trPr>
          <w:trHeight w:val="611"/>
        </w:trPr>
        <w:tc>
          <w:tcPr>
            <w:tcW w:w="8190" w:type="dxa"/>
            <w:vAlign w:val="center"/>
          </w:tcPr>
          <w:p w:rsidR="00A312AA" w:rsidRDefault="00A03ECC">
            <w:pPr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研究方向：</w:t>
            </w:r>
          </w:p>
        </w:tc>
      </w:tr>
      <w:tr w:rsidR="00A312AA">
        <w:trPr>
          <w:trHeight w:val="1275"/>
        </w:trPr>
        <w:tc>
          <w:tcPr>
            <w:tcW w:w="8190" w:type="dxa"/>
            <w:vAlign w:val="center"/>
          </w:tcPr>
          <w:p w:rsidR="00A312AA" w:rsidRDefault="00A03ECC">
            <w:pPr>
              <w:rPr>
                <w:rFonts w:hAnsi="宋体"/>
              </w:rPr>
            </w:pPr>
            <w:r>
              <w:rPr>
                <w:rFonts w:hAnsi="宋体"/>
              </w:rPr>
              <w:t>1</w:t>
            </w:r>
            <w:r w:rsidR="003E570A"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感染性角膜炎</w:t>
            </w:r>
            <w:r w:rsidR="003E570A">
              <w:rPr>
                <w:rFonts w:hAnsi="宋体"/>
              </w:rPr>
              <w:t>的</w:t>
            </w:r>
            <w:r>
              <w:rPr>
                <w:rFonts w:hAnsi="宋体"/>
              </w:rPr>
              <w:t>病原诊断</w:t>
            </w:r>
            <w:r w:rsidR="003E570A">
              <w:rPr>
                <w:rFonts w:hAnsi="宋体"/>
              </w:rPr>
              <w:t>学研究</w:t>
            </w:r>
          </w:p>
          <w:p w:rsidR="00A312AA" w:rsidRDefault="00A03ECC">
            <w:pPr>
              <w:rPr>
                <w:rFonts w:hAnsi="宋体"/>
              </w:rPr>
            </w:pPr>
            <w:r>
              <w:rPr>
                <w:rFonts w:hAnsi="宋体"/>
              </w:rPr>
              <w:t>2</w:t>
            </w:r>
            <w:r w:rsidR="003E570A">
              <w:rPr>
                <w:rFonts w:hAnsi="宋体" w:hint="eastAsia"/>
              </w:rPr>
              <w:t>、眼免疫性疾病及其</w:t>
            </w:r>
            <w:r w:rsidR="003E570A">
              <w:rPr>
                <w:rFonts w:hAnsi="宋体"/>
              </w:rPr>
              <w:t>机理的研究</w:t>
            </w:r>
          </w:p>
          <w:p w:rsidR="00A312AA" w:rsidRDefault="003E570A" w:rsidP="003E570A">
            <w:pPr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 w:hint="eastAsia"/>
              </w:rPr>
              <w:t>、</w:t>
            </w:r>
            <w:r w:rsidR="00A03ECC">
              <w:rPr>
                <w:rFonts w:hAnsi="宋体"/>
              </w:rPr>
              <w:t>人工智能角膜病诊断平台建设</w:t>
            </w:r>
          </w:p>
          <w:p w:rsidR="003E570A" w:rsidRPr="003E570A" w:rsidRDefault="003E570A" w:rsidP="003E570A">
            <w:pPr>
              <w:rPr>
                <w:rFonts w:hAnsi="宋体"/>
              </w:rPr>
            </w:pPr>
            <w:r>
              <w:rPr>
                <w:rFonts w:hAnsi="宋体" w:hint="eastAsia"/>
              </w:rPr>
              <w:t>4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人工角膜的研究</w:t>
            </w:r>
          </w:p>
        </w:tc>
      </w:tr>
      <w:tr w:rsidR="00A312AA">
        <w:trPr>
          <w:trHeight w:val="718"/>
        </w:trPr>
        <w:tc>
          <w:tcPr>
            <w:tcW w:w="8190" w:type="dxa"/>
            <w:vAlign w:val="center"/>
          </w:tcPr>
          <w:p w:rsidR="00A312AA" w:rsidRDefault="00A03ECC">
            <w:pPr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招聘要求：（专业方向、研究背景、发表论文、工作内容）</w:t>
            </w:r>
          </w:p>
        </w:tc>
      </w:tr>
      <w:tr w:rsidR="00A312AA">
        <w:trPr>
          <w:trHeight w:val="2769"/>
        </w:trPr>
        <w:tc>
          <w:tcPr>
            <w:tcW w:w="8190" w:type="dxa"/>
            <w:vAlign w:val="center"/>
          </w:tcPr>
          <w:p w:rsidR="00A312AA" w:rsidRDefault="00A03ECC">
            <w:pPr>
              <w:rPr>
                <w:rFonts w:ascii="宋体" w:hAnsi="宋体"/>
              </w:rPr>
            </w:pPr>
            <w:r>
              <w:rPr>
                <w:rFonts w:hAnsi="宋体"/>
              </w:rPr>
              <w:t>1</w:t>
            </w:r>
            <w:r w:rsidR="00EC60D5"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已获</w:t>
            </w:r>
            <w:r w:rsidR="00EC60D5">
              <w:rPr>
                <w:rFonts w:hAnsi="宋体"/>
              </w:rPr>
              <w:t>医学相关的</w:t>
            </w:r>
            <w:r>
              <w:rPr>
                <w:rFonts w:hAnsi="宋体"/>
              </w:rPr>
              <w:t>博士学位</w:t>
            </w:r>
            <w:r w:rsidR="00EC60D5">
              <w:rPr>
                <w:rFonts w:hAnsi="宋体" w:hint="eastAsia"/>
              </w:rPr>
              <w:t>，</w:t>
            </w:r>
            <w:r w:rsidR="00EC60D5">
              <w:rPr>
                <w:rFonts w:hAnsi="宋体"/>
              </w:rPr>
              <w:t>或获非医学博士学位但有志于从事与医学交叉的研发工作</w:t>
            </w:r>
            <w:r>
              <w:rPr>
                <w:rFonts w:hAnsi="宋体"/>
              </w:rPr>
              <w:t>，年龄在</w:t>
            </w:r>
            <w:r>
              <w:rPr>
                <w:rFonts w:hAnsi="宋体"/>
              </w:rPr>
              <w:t>35</w:t>
            </w:r>
            <w:r>
              <w:rPr>
                <w:rFonts w:hAnsi="宋体"/>
              </w:rPr>
              <w:t>周岁以下。</w:t>
            </w:r>
          </w:p>
          <w:p w:rsidR="00A312AA" w:rsidRPr="00EC60D5" w:rsidRDefault="00A312AA">
            <w:pPr>
              <w:rPr>
                <w:rFonts w:hAnsi="宋体"/>
              </w:rPr>
            </w:pPr>
          </w:p>
          <w:p w:rsidR="00A312AA" w:rsidRDefault="00A03ECC">
            <w:pPr>
              <w:rPr>
                <w:rFonts w:hAnsi="宋体"/>
              </w:rPr>
            </w:pPr>
            <w:r>
              <w:rPr>
                <w:rFonts w:hAnsi="宋体"/>
              </w:rPr>
              <w:t>2</w:t>
            </w:r>
            <w:r w:rsidR="00EC60D5">
              <w:rPr>
                <w:rFonts w:hAnsi="宋体" w:hint="eastAsia"/>
              </w:rPr>
              <w:t>、</w:t>
            </w:r>
            <w:r w:rsidR="00EC60D5">
              <w:rPr>
                <w:rFonts w:hAnsi="宋体"/>
              </w:rPr>
              <w:t>有病毒学</w:t>
            </w:r>
            <w:r w:rsidR="00EC60D5">
              <w:rPr>
                <w:rFonts w:hAnsi="宋体" w:hint="eastAsia"/>
              </w:rPr>
              <w:t>、</w:t>
            </w:r>
            <w:r w:rsidR="00EC60D5">
              <w:rPr>
                <w:rFonts w:hAnsi="宋体"/>
              </w:rPr>
              <w:t>免疫学的基础研究背景者优先考虑；鼓励生</w:t>
            </w:r>
            <w:r>
              <w:rPr>
                <w:rFonts w:hAnsi="宋体"/>
              </w:rPr>
              <w:t>物学</w:t>
            </w:r>
            <w:r w:rsidR="00EC60D5">
              <w:rPr>
                <w:rFonts w:hAnsi="宋体"/>
              </w:rPr>
              <w:t>或</w:t>
            </w:r>
            <w:r>
              <w:rPr>
                <w:rFonts w:hAnsi="宋体"/>
              </w:rPr>
              <w:t>医学</w:t>
            </w:r>
            <w:r w:rsidR="00EC60D5">
              <w:rPr>
                <w:rFonts w:hAnsi="宋体"/>
              </w:rPr>
              <w:t>其它</w:t>
            </w:r>
            <w:r>
              <w:rPr>
                <w:rFonts w:hAnsi="宋体"/>
              </w:rPr>
              <w:t>学科背景</w:t>
            </w:r>
            <w:r w:rsidR="00EC60D5">
              <w:rPr>
                <w:rFonts w:hAnsi="宋体" w:hint="eastAsia"/>
              </w:rPr>
              <w:t>，</w:t>
            </w:r>
            <w:r w:rsidR="00EC60D5">
              <w:rPr>
                <w:rFonts w:hAnsi="宋体"/>
              </w:rPr>
              <w:t>以及人工智能</w:t>
            </w:r>
            <w:r w:rsidR="00EC60D5">
              <w:rPr>
                <w:rFonts w:hAnsi="宋体" w:hint="eastAsia"/>
              </w:rPr>
              <w:t>、</w:t>
            </w:r>
            <w:r w:rsidR="00EC60D5">
              <w:rPr>
                <w:rFonts w:hAnsi="宋体"/>
              </w:rPr>
              <w:t>高分子材料</w:t>
            </w:r>
            <w:r w:rsidR="0034423F">
              <w:rPr>
                <w:rFonts w:hAnsi="宋体"/>
              </w:rPr>
              <w:t>研究背景者参与</w:t>
            </w:r>
            <w:r w:rsidR="00EC60D5">
              <w:rPr>
                <w:rFonts w:hAnsi="宋体"/>
              </w:rPr>
              <w:t>应聘</w:t>
            </w:r>
            <w:r>
              <w:rPr>
                <w:rFonts w:hAnsi="宋体"/>
              </w:rPr>
              <w:t>；</w:t>
            </w:r>
            <w:r w:rsidR="00EC60D5">
              <w:rPr>
                <w:rFonts w:hAnsi="宋体"/>
              </w:rPr>
              <w:t>已</w:t>
            </w:r>
            <w:r>
              <w:rPr>
                <w:rFonts w:hAnsi="宋体"/>
              </w:rPr>
              <w:t>发表至少</w:t>
            </w:r>
            <w:r>
              <w:rPr>
                <w:rFonts w:hAnsi="宋体"/>
              </w:rPr>
              <w:t>1</w:t>
            </w:r>
            <w:r>
              <w:rPr>
                <w:rFonts w:hAnsi="宋体"/>
              </w:rPr>
              <w:t>篇高质量</w:t>
            </w:r>
            <w:r>
              <w:rPr>
                <w:rFonts w:hAnsi="宋体"/>
              </w:rPr>
              <w:t>SCI</w:t>
            </w:r>
            <w:r>
              <w:rPr>
                <w:rFonts w:hAnsi="宋体"/>
              </w:rPr>
              <w:t>论文。</w:t>
            </w:r>
          </w:p>
          <w:p w:rsidR="00A312AA" w:rsidRPr="0034423F" w:rsidRDefault="00A312AA">
            <w:pPr>
              <w:rPr>
                <w:rFonts w:hAnsi="宋体"/>
              </w:rPr>
            </w:pPr>
          </w:p>
          <w:p w:rsidR="00A312AA" w:rsidRDefault="00A03ECC" w:rsidP="00EC60D5">
            <w:pPr>
              <w:rPr>
                <w:rFonts w:hAnsi="宋体"/>
              </w:rPr>
            </w:pPr>
            <w:r>
              <w:rPr>
                <w:rFonts w:hAnsi="宋体"/>
              </w:rPr>
              <w:t>3</w:t>
            </w:r>
            <w:r w:rsidR="00EC60D5"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具有良好的团队协作精神，有较强的专业英文阅读和写作能力。</w:t>
            </w:r>
          </w:p>
        </w:tc>
      </w:tr>
    </w:tbl>
    <w:p w:rsidR="00A312AA" w:rsidRDefault="00A312AA">
      <w:pPr>
        <w:rPr>
          <w:rFonts w:hAnsi="宋体"/>
        </w:rPr>
      </w:pPr>
    </w:p>
    <w:sectPr w:rsidR="00A312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D03" w:rsidRDefault="00453D03" w:rsidP="003E570A">
      <w:r>
        <w:separator/>
      </w:r>
    </w:p>
  </w:endnote>
  <w:endnote w:type="continuationSeparator" w:id="0">
    <w:p w:rsidR="00453D03" w:rsidRDefault="00453D03" w:rsidP="003E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D03" w:rsidRDefault="00453D03" w:rsidP="003E570A">
      <w:r>
        <w:separator/>
      </w:r>
    </w:p>
  </w:footnote>
  <w:footnote w:type="continuationSeparator" w:id="0">
    <w:p w:rsidR="00453D03" w:rsidRDefault="00453D03" w:rsidP="003E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A0FBC"/>
    <w:multiLevelType w:val="hybridMultilevel"/>
    <w:tmpl w:val="00000029"/>
    <w:lvl w:ilvl="0" w:tplc="5F548DA4">
      <w:start w:val="1"/>
      <w:numFmt w:val="decimalEnclosedCircle"/>
      <w:lvlText w:val="%1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3B5234D8">
      <w:start w:val="1"/>
      <w:numFmt w:val="lowerLetter"/>
      <w:lvlText w:val="%2)"/>
      <w:lvlJc w:val="left"/>
      <w:pPr>
        <w:ind w:left="840" w:hanging="420"/>
        <w:jc w:val="both"/>
      </w:pPr>
    </w:lvl>
    <w:lvl w:ilvl="2" w:tplc="9AF2CE02">
      <w:start w:val="1"/>
      <w:numFmt w:val="lowerRoman"/>
      <w:lvlText w:val="%3."/>
      <w:lvlJc w:val="right"/>
      <w:pPr>
        <w:ind w:left="1260" w:hanging="420"/>
        <w:jc w:val="both"/>
      </w:pPr>
    </w:lvl>
    <w:lvl w:ilvl="3" w:tplc="D7B6FEB8">
      <w:start w:val="1"/>
      <w:numFmt w:val="decimal"/>
      <w:lvlText w:val="%4."/>
      <w:lvlJc w:val="left"/>
      <w:pPr>
        <w:ind w:left="1680" w:hanging="420"/>
        <w:jc w:val="both"/>
      </w:pPr>
    </w:lvl>
    <w:lvl w:ilvl="4" w:tplc="96B2B31C">
      <w:start w:val="1"/>
      <w:numFmt w:val="lowerLetter"/>
      <w:lvlText w:val="%5)"/>
      <w:lvlJc w:val="left"/>
      <w:pPr>
        <w:ind w:left="2100" w:hanging="420"/>
        <w:jc w:val="both"/>
      </w:pPr>
    </w:lvl>
    <w:lvl w:ilvl="5" w:tplc="B1B64614">
      <w:start w:val="1"/>
      <w:numFmt w:val="lowerRoman"/>
      <w:lvlText w:val="%6."/>
      <w:lvlJc w:val="right"/>
      <w:pPr>
        <w:ind w:left="2520" w:hanging="420"/>
        <w:jc w:val="both"/>
      </w:pPr>
    </w:lvl>
    <w:lvl w:ilvl="6" w:tplc="F50EA9CA">
      <w:start w:val="1"/>
      <w:numFmt w:val="decimal"/>
      <w:lvlText w:val="%7."/>
      <w:lvlJc w:val="left"/>
      <w:pPr>
        <w:ind w:left="2940" w:hanging="420"/>
        <w:jc w:val="both"/>
      </w:pPr>
    </w:lvl>
    <w:lvl w:ilvl="7" w:tplc="50E255A2">
      <w:start w:val="1"/>
      <w:numFmt w:val="lowerLetter"/>
      <w:lvlText w:val="%8)"/>
      <w:lvlJc w:val="left"/>
      <w:pPr>
        <w:ind w:left="3360" w:hanging="420"/>
        <w:jc w:val="both"/>
      </w:pPr>
    </w:lvl>
    <w:lvl w:ilvl="8" w:tplc="B2D07B66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A312AA"/>
    <w:rsid w:val="00267D4F"/>
    <w:rsid w:val="0034423F"/>
    <w:rsid w:val="003E570A"/>
    <w:rsid w:val="00453D03"/>
    <w:rsid w:val="009206DB"/>
    <w:rsid w:val="00924608"/>
    <w:rsid w:val="00A03ECC"/>
    <w:rsid w:val="00A312AA"/>
    <w:rsid w:val="00EC60D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96836A-C1A2-4332-8AED-9F66E0B8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pPr>
      <w:ind w:firstLine="42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table" w:styleId="af0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Char"/>
    <w:uiPriority w:val="99"/>
    <w:unhideWhenUsed/>
    <w:rsid w:val="003E5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uiPriority w:val="99"/>
    <w:rsid w:val="003E570A"/>
    <w:rPr>
      <w:sz w:val="18"/>
      <w:szCs w:val="18"/>
    </w:rPr>
  </w:style>
  <w:style w:type="paragraph" w:styleId="af2">
    <w:name w:val="footer"/>
    <w:basedOn w:val="a"/>
    <w:link w:val="Char0"/>
    <w:uiPriority w:val="99"/>
    <w:unhideWhenUsed/>
    <w:rsid w:val="003E5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2"/>
    <w:uiPriority w:val="99"/>
    <w:rsid w:val="003E5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143</Words>
  <Characters>820</Characters>
  <Application>Microsoft Office Word</Application>
  <DocSecurity>0</DocSecurity>
  <Lines>6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锴</dc:creator>
  <cp:lastModifiedBy>魏 锴</cp:lastModifiedBy>
  <cp:revision>6</cp:revision>
  <dcterms:created xsi:type="dcterms:W3CDTF">2018-11-26T15:26:00Z</dcterms:created>
  <dcterms:modified xsi:type="dcterms:W3CDTF">2018-11-27T00:49:00Z</dcterms:modified>
</cp:coreProperties>
</file>